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CB1354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</w:pPr>
      <w:r w:rsidRPr="00CB135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:rsidR="00CB1354" w:rsidRPr="003A4D01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zobowiązuje się do zachowania w tajemnicy informacji przekazanych  bezpośrednio lub pośrednio przez Zleceniodawcę</w:t>
      </w:r>
      <w:r w:rsidR="00CB135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(ORLEN Projekt S.A.)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formie elektronicznej odmienny, od określonego powyżej, charakter takich informacji.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ujawnienie lub wykorzystanie informacji jest konieczne do prawidłowego wykonania niniejszej umowy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zgodne z tą umową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został zobowiązany do ujawnienia informacji przez sąd lub uprawniony organ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Zleceniodawca wyraził Zleceniobiorcy pisemną zgodę na ujawnienie lub wykorzystanie informacji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określonym celu, we wskazany przez Zleceniodawcę sposób.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czasie obowiązywania niniejszej umowy, jak również w okresie 10 lat po jej rozwiązaniu, wygaśnięciu lub uchyleniu bądź zniweczeniu skutków prawnych. Jeżeli mimo upływu, wskazanego w zdaniu poprzednim, okresu ochrony 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podlegają ochronie w oparciu o wewnętrzne regulacje lub decyzje Zleceniodawcy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="00927783">
        <w:rPr>
          <w:rFonts w:ascii="Arial" w:hAnsi="Arial" w:cs="Arial"/>
          <w:sz w:val="20"/>
          <w:szCs w:val="20"/>
        </w:rPr>
        <w:t>w wysokości 10% wartości całego Wynagrodzenia netto określonego w Umowie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trakcie realizacji niniejszej umowy, zaistnieje konieczności dostępu lub przekazania Zleceniobiorcy, w jakiejkolwiek formie, informacji st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anowiących Tajemnicę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runki ochrony Tajemnicy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:rsidR="0043797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Dla uniknięcia wątpliwości Strony potwierdzają, że Zleceniobiorca, niezależnie od obowiązków określonych </w:t>
      </w:r>
      <w:r w:rsidR="008B679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1D0A6D" w:rsidRPr="001D0A6D" w:rsidRDefault="001D0A6D" w:rsidP="001D0A6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D0A6D">
        <w:rPr>
          <w:rFonts w:ascii="Arial" w:hAnsi="Arial" w:cs="Arial"/>
          <w:sz w:val="20"/>
          <w:szCs w:val="20"/>
        </w:rPr>
        <w:t>Kontrahent wyraża zgodę na ujawnienie przez ORLEN PROJEKT S.A. treści niniejszej umowy oraz informacji i danych związanych z jej realizacją spółkom należącym do Grupy Kapitałowej ORLEN na zasadach powyżej przewidzianych.</w:t>
      </w:r>
    </w:p>
    <w:p w:rsidR="001D0A6D" w:rsidRPr="001D0A6D" w:rsidRDefault="001D0A6D" w:rsidP="001D0A6D">
      <w:pPr>
        <w:spacing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5F" w:rsidRDefault="00CB335F" w:rsidP="00EE1036">
      <w:r>
        <w:separator/>
      </w:r>
    </w:p>
  </w:endnote>
  <w:endnote w:type="continuationSeparator" w:id="0">
    <w:p w:rsidR="00CB335F" w:rsidRDefault="00CB335F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D0A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D0A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5F" w:rsidRDefault="00CB335F" w:rsidP="00EE1036">
      <w:r>
        <w:separator/>
      </w:r>
    </w:p>
  </w:footnote>
  <w:footnote w:type="continuationSeparator" w:id="0">
    <w:p w:rsidR="00CB335F" w:rsidRDefault="00CB335F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4" w:rsidRDefault="00CB13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2DAA8" wp14:editId="186B28FD">
          <wp:simplePos x="0" y="0"/>
          <wp:positionH relativeFrom="margin">
            <wp:align>center</wp:align>
          </wp:positionH>
          <wp:positionV relativeFrom="paragraph">
            <wp:posOffset>-35804</wp:posOffset>
          </wp:positionV>
          <wp:extent cx="2299970" cy="736600"/>
          <wp:effectExtent l="0" t="0" r="508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50B44"/>
    <w:rsid w:val="000D0B81"/>
    <w:rsid w:val="00112960"/>
    <w:rsid w:val="001D0A6D"/>
    <w:rsid w:val="00286859"/>
    <w:rsid w:val="00294640"/>
    <w:rsid w:val="002B2CED"/>
    <w:rsid w:val="00311695"/>
    <w:rsid w:val="003A4D01"/>
    <w:rsid w:val="003A72E9"/>
    <w:rsid w:val="00412DF8"/>
    <w:rsid w:val="0043797D"/>
    <w:rsid w:val="004C1FCC"/>
    <w:rsid w:val="00563529"/>
    <w:rsid w:val="00716353"/>
    <w:rsid w:val="008B6799"/>
    <w:rsid w:val="00927783"/>
    <w:rsid w:val="00A04BAC"/>
    <w:rsid w:val="00C30CCB"/>
    <w:rsid w:val="00C45EFD"/>
    <w:rsid w:val="00CB1354"/>
    <w:rsid w:val="00CB335F"/>
    <w:rsid w:val="00D956AB"/>
    <w:rsid w:val="00E368A2"/>
    <w:rsid w:val="00EE1036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624A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locked/>
    <w:rsid w:val="001D0A6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9351-9A93-433F-B87E-0E2D867B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Jezierska Angelika (PRO)</cp:lastModifiedBy>
  <cp:revision>3</cp:revision>
  <dcterms:created xsi:type="dcterms:W3CDTF">2023-07-21T10:36:00Z</dcterms:created>
  <dcterms:modified xsi:type="dcterms:W3CDTF">2024-06-17T09:21:00Z</dcterms:modified>
</cp:coreProperties>
</file>